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378 vom 4. Oktober 2021</w:t>
      </w:r>
    </w:p>
    <w:p>
      <w:r>
        <w:t>FR Kantonsgericht, 2021-10-04, FR</w:t>
      </w:r>
    </w:p>
    <w:p>
      <w:r>
        <w:rPr>
          <w:b/>
        </w:rPr>
        <w:t xml:space="preserve">Quelle: </w:t>
      </w:r>
      <w:r>
        <w:t>https://mcp.opencaselaw.ch/entscheid/fr_gerichte_101 2021 378</w:t>
      </w:r>
    </w:p>
    <w:p>
      <w:r>
        <w:t>FR: FR_GERICHTE 101 2021 378 du 4 octobre 2021</w:t>
      </w:r>
    </w:p>
    <w:p>
      <w:r>
        <w:t>IT: FR_GERICHTE 101 2021 378 del 4 ottobre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13</w:t>
      </w:r>
    </w:p>
    <w:p>
      <w:r>
        <w:t>septembre 2021 et requis l'assistance judiciaire. Il conclut, sous suite de frais, à ce que la pension en faveur de sa fille continue d'être arrêtée à un montant de CHF 235.- par mois au-delà du 31 décembre 2021. B.________ n'a pas été invitée à déposer une réponse à l'appel.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let. a CPC, par renvoi de l'art. 276 al. 1 CPC) – est de 10 jours (art. 314 al. 1 CPC). En l'espèce, la décision attaquée a été notifiée au mandataire de l'appelant le 14 septembre 2021 (DO/253). Déposé le 24 septembre 2021, l'appel a dès lors été interjeté en temps utile. En outre, vu la modification de la contribution d'entretien litigieuse en première instance, soit CHF 630.- par mois depuis le 1er mars 2021, la valeur litigieuse paraît supérieure à CHF 10'000.-. Il s'ensuit la recevabilité de l'appel.</w:t>
      </w:r>
    </w:p>
    <w:p>
      <w:r>
        <w:t>Tribunal cantonal TC Page 3 de 6 1.2. La procédure sommaire (art. 252 ss CPC) s'applique aux causes de mesures protectrices de l'union conjugale (art. 271 CPC), le tribunal établissant toutefois les faits d'office (maxime inquisitoire, art. 272 et 296 al. 1 CPC) et, s'agissant d'une question relative à une enfant mineure, n'étant pas lié par les conclusions des parties (maxime d'office, art. 296 al. 3 CPC). 1.3. La cognition de la Cour d'appel est pleine et entière, en fait comme en droit (art. 310 CPC). 1.4.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 – SCHWEIZER, 2e éd. 2019, art. 227 n. 14 ss)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l'appelant modifie ses conclusions en lien avec l'entretien de sa fille : alors qu'en première instance il ne proposait aucune pension depuis le 1er mars 2021, il accepte désormais de renoncer à la diminution requise en mars et avril 2021, puis de payer CHF 235.- par mois depuis le 1er mai 2021. Cette réduction de ses conclusions est recevable. 1.5. Selon l'art. 312 al. 1 CPC, l'instance d'appel notifie l'appel à la partie adverse pour qu'elle se détermine par écrit, sauf si l'appel est manifestement irrecevable ou infondé. En l'espèce, vu le sort qui doit être donné à l'appel (infra, consid. 2.4), il n'a pas été ordonné d'échange d'écritures. De plus, dans la mesure où le dossier est complet, la Cour statue sans débats, conformément à la possibilité prévue par l'art. 316 al. 1 CPC. 1.6. Vu les montants contestés en appel, soit CHF 430.- par mois dès janvier 2022, comme le fait que la procédure de divorce arrive à son terme, la valeur litigieuse pour un recours au Tribunal fédéral semble inférieure à CHF 30'000.- (art. 51 al. 1 let. a et al. 4 LTF). 2. 2.1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(arrêt TF 5A_287/2013 du 5 août 2013 consid. 2). Une réglementation différente doit donc être commandée par des faits nouveaux, importants et durables : la procédure de modification n'a</w:t>
      </w:r>
    </w:p>
    <w:p>
      <w:r>
        <w:t>Tribunal cantonal TC Page 4 de 6 en effet pas pour but de corriger le premier jugement, mais de l'adapter aux circonstances nouvelles (ATF 137 III 604 consid. 4.1.1). 2.2. En l'espèce, la première juge a considéré que, dans son arrêt du 12 janvier 2021, la Cour s'est fondée sur un revenu du mari de CHF 4'100.- net, soit son revenu effectif, certes temporairement réduit en raison de la fermeture des restaurants comme conséquence de la crise sanitaire, mais qui devrait à nouveau pouvoir être réalisé dès mars 2021. Or, contrairement à cette prévision, les restaurants n'ont rouvert qu'à fin mai 2021 et, par ailleurs, le mari a été licencié pour le 30 avril 2021 et ne perçoit depuis lors plus qu'un montant mensuel de CHF 3'473.85 à titre d'indemnités de chômage. Elle a donc pris en compte ce revenu à partir du 1er mai 2021 et a estimé que la baisse de CHF 625.- qui en résulte justifie un nouveau calcul de la contribution d'entretien à CHF 235.- par mois, soit l'entier du disponible du père. Cela étant, la Présidente a considéré que la période de chômage vécue par A.________ n'est que temporaire et qu'il appartient à ce dernier de retrouver un emploi à plein temps d'ici la fin de l'année 2021. Elle lui a donc imputé un revenu hypothétique de CHF 4'100.- dès le 1er janvier 2022, soit le revenu qu'il réalisait par son dernier emploi, relevant que les restaurants sont désormais ouverts et que, sur le vu des mesures prises, en particulier l'introduction du certificat Covid, leurs portes ne devraient plus fermer. Elle a estimé que ce revenu laisserait au mari un disponible de CHF 668.15, qu'elle a affecté en totalité à l'entretien de C.________, la mère étant déficitaire (décision attaquée, p. 6-9). 2.3. L'appelant critique uniquement l'imputation d'un revenu hypothétique depuis le 1er janvier 2022. Il fait valoir en substance que, malgré ses nombreuses recherches d'emploi, il n'a pas réussi à trouver un travail depuis son licenciement et que l'introduction du certificat Covid pour accéder aux restaurants, qui va entraîner une baisse de fréquentation de ces établissements et une diminution du chiffre d'affaires estimée à 50 %, ne va pas lui simplifier la tâche. Il estime que l'on ne peut parler d'une reprise du marché de l'emploi dans le domaine de la restauration et qu'il est hasardeux de se risquer à des prédictions à cet égard, relevant que celle de la Cour dans son arrêt du 12 janvier 2021 – réouverture des restaurants en mars 2021 – s'est révélée infondée. Dans ces conditions, il soutient qu'il n'a pas la possibilité effective de réaliser un revenu supérieur aux indemnités de chômage qu'il perçoit actuellement, et encore moins dans le court délai de trois mois qui lui a été octroyé, de sorte qu'il faut faire abstraction de tout revenu hypothétique (appel, p. 6-10). 2.4. 2.4.1. L'obligation d'entretien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 arrêt TF 5A_254/2019 du 18 juillet 2019 consid. 3.1).</w:t>
      </w:r>
    </w:p>
    <w:p>
      <w:r>
        <w:t>Tribunal cantonal TC Page 5 de 6 Par ailleurs, si le juge entend exiger que l'un des époux reprenne une activité lucrative, il doit en principe lui accorder un délai d'adaptation approprié ; celui-ci doit être fixé en fonction des circonstances concrètes du cas particulier (arrêt TF 5A_454/2017 du 17 mai 2018 consid. 6.1.1 non publié aux ATF 144 III 377). 2.4.2. En l'espèce, il n'est pas contesté que, depuis le début de la crise sanitaire liée à la pandémie de Covid-19, la situation financière de beaucoup d'établissements publics de restauration est délicate. Cette réalité n'a cependant pas été occultée dans la détermination des conditions économiques de l'appelant. D'une part, alors qu'il gagnait auparavant CHF 5'000.- net par mois, la Cour a considéré, dans son arrêt du 12 janvier 2021, que son nouveau revenu de CHF 4'100.- ne procédait pas d'une intention dolosive de diminuer ses ressources. D'autre part, dans la décision querellée, la Présidente a pris en compte, de mai à décembre 2021, les indemnités de chômage qu'il perçoit suite à son licenciement, soit CHF 3'473.85 mensuels. Elle a donc estimé qu'il n'était pas responsable de la réduction actuelle de son revenu et qu'il convenait de lui laisser un délai pour se retourner. Cela étant, les exigences en matière de revenu sont accrues lorsqu'est en jeu l'entretien d'un enfant mineur. La première juge n'a dès lors pas violé le droit en estimant qu'il appartient à l'appelant de trouver un nouvel emploi à 100 % d'ici la fin de l'année 2021. A.________ aura ainsi disposé, depuis son licenciement, de huit mois à cet effet, ce qui ne paraît pas déraisonnable. Certes, l'évolution de la situation économique dans le domaine de la restauration est encore incertaine et il est possible que la fréquentation de certains établissements diminue suite à l'introduction du pass sanitaire. Il n'en demeure pas moins qu'il ne devrait pas être excessivement difficile, pour un homme d'une quarantaine d'années avec plusieurs expériences dans ce domaine, de trouver un travail d'ici quelques mois. Au besoin, il appartient à l'appelant d'élargir ses recherches à d'autres domaines ne nécessitant pas de qualifications particulières, comme la vente ou le nettoyage, étant relevé qu'il a déclaré avoir une expérience de huit ans dans ce dernier domaine (DO/188). Au vu de ce qui précède, l'imputation d'un revenu hypothétique de CHF 4'100.- dès le 1er janvier 2022 – dont la quotité n'est pas critiquée en soi – ne prête pas le flanc à la critique. L'appel, manifestement infondé, ne peut être que rejeté. 3. Vu le sort de l'appel, il faut retenir qu'une personne raisonnable et de condition aisée plaidant avec ses propres deniers aurait renoncé à le déposer en raison des frais qu'elle se serait exposée à devoir supporter en cas de rejet. Il était dès lors d'emblée dénué de toute chance de succès au sens de la jurisprudence (ATF 139 III 396 consid. 1.2), ce qui s'oppose à l'octroi de l'assistance judiciaire à l'appelant (art. 117 let. b CPC a contrario). 4. Les frais judiciaires d'appel, fixés à CHF 800.-, seront supportés par l'appelant, qui succombe (art. 106 al. 1 CPC). Il n'est pas alloué de dépens à l'intimée, qui n'a pas été invitée à déposer une réponse. (dispositif en page suivante)</w:t>
      </w:r>
    </w:p>
    <w:p>
      <w:r>
        <w:t>Tribunal cantonal TC Page 6 de 6 la Cour arrête : I. L'appel est rejeté. Partant, la décision prononcée le 13 septembre 2021 par la Présidente du Tribunal civil de la Sarine est confirmée. II. La requête d'assistance judiciaire présentée pour l'appel par A.________ est rejetée. III. Les frais judiciaires d'appel, fixés à CHF 800.-, sont mis à la charge de A.________. Il n'est pas alloué de dépens à B.________ pour la procédure d'appel.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octobre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